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4FD88F01"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511197">
        <w:rPr>
          <w:rFonts w:ascii="Arial" w:eastAsia="Arial Unicode MS" w:hAnsi="Arial" w:cs="Arial"/>
          <w:b/>
          <w:sz w:val="22"/>
          <w:szCs w:val="22"/>
        </w:rPr>
        <w:t>0</w:t>
      </w:r>
      <w:r w:rsidR="00266D75">
        <w:rPr>
          <w:rFonts w:ascii="Arial" w:eastAsia="Arial Unicode MS" w:hAnsi="Arial" w:cs="Arial"/>
          <w:b/>
          <w:sz w:val="22"/>
          <w:szCs w:val="22"/>
        </w:rPr>
        <w:t>30</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266D75">
        <w:rPr>
          <w:rFonts w:ascii="Arial" w:eastAsia="Arial Unicode MS" w:hAnsi="Arial" w:cs="Arial"/>
          <w:b/>
          <w:sz w:val="22"/>
          <w:szCs w:val="22"/>
        </w:rPr>
        <w:t>23</w:t>
      </w:r>
      <w:r w:rsidR="00E71BAA">
        <w:rPr>
          <w:rFonts w:ascii="Arial" w:eastAsia="Arial Unicode MS" w:hAnsi="Arial" w:cs="Arial"/>
          <w:b/>
          <w:sz w:val="22"/>
          <w:szCs w:val="22"/>
        </w:rPr>
        <w:t xml:space="preserve"> / 0</w:t>
      </w:r>
      <w:r w:rsidR="00A22449">
        <w:rPr>
          <w:rFonts w:ascii="Arial" w:eastAsia="Arial Unicode MS" w:hAnsi="Arial" w:cs="Arial"/>
          <w:b/>
          <w:sz w:val="22"/>
          <w:szCs w:val="22"/>
        </w:rPr>
        <w:t>6</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2D8F4B49"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29755A">
        <w:rPr>
          <w:rFonts w:ascii="Arial" w:eastAsia="Arial Unicode MS" w:hAnsi="Arial" w:cs="Arial"/>
          <w:sz w:val="22"/>
          <w:szCs w:val="22"/>
        </w:rPr>
        <w:t>veintitrés</w:t>
      </w:r>
      <w:r w:rsidR="009E4D8C">
        <w:rPr>
          <w:rFonts w:ascii="Arial" w:eastAsia="Arial Unicode MS" w:hAnsi="Arial" w:cs="Arial"/>
          <w:sz w:val="22"/>
          <w:szCs w:val="22"/>
        </w:rPr>
        <w:t xml:space="preserve"> (</w:t>
      </w:r>
      <w:r w:rsidR="00266D75">
        <w:rPr>
          <w:rFonts w:ascii="Arial" w:eastAsia="Arial Unicode MS" w:hAnsi="Arial" w:cs="Arial"/>
          <w:sz w:val="22"/>
          <w:szCs w:val="22"/>
        </w:rPr>
        <w:t>23</w:t>
      </w:r>
      <w:r w:rsidR="009E4D8C">
        <w:rPr>
          <w:rFonts w:ascii="Arial" w:eastAsia="Arial Unicode MS" w:hAnsi="Arial" w:cs="Arial"/>
          <w:sz w:val="22"/>
          <w:szCs w:val="22"/>
        </w:rPr>
        <w:t xml:space="preserve">) días del mes de </w:t>
      </w:r>
      <w:r w:rsidR="0029755A">
        <w:rPr>
          <w:rFonts w:ascii="Arial" w:eastAsia="Arial Unicode MS" w:hAnsi="Arial" w:cs="Arial"/>
          <w:sz w:val="22"/>
          <w:szCs w:val="22"/>
        </w:rPr>
        <w:t>junio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65AA2293"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">
                <v:textbox>
                  <w:txbxContent>
                    <w:p w14:paraId="591AE1D3" w14:textId="65AA2293" w:rsidR="0059196C" w:rsidRDefault="0059196C" w:rsidP="00635B4E"/>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rPr>
                            </w:pPr>
                            <w:r>
                              <w:rPr>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77777777" w:rsidR="0059196C" w:rsidRPr="00B94FF9" w:rsidRDefault="0059196C" w:rsidP="00B94FF9">
                      <w:pPr>
                        <w:rPr>
                          <w:b/>
                          <w:sz w:val="20"/>
                          <w:szCs w:val="20"/>
                        </w:rPr>
                      </w:pPr>
                      <w:r>
                        <w:rPr>
                          <w:b/>
                          <w:sz w:val="20"/>
                          <w:szCs w:val="20"/>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315D5C49" w:rsidR="0059196C" w:rsidRPr="00B94FF9" w:rsidRDefault="0059196C" w:rsidP="00FC0E3C">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315D5C49" w:rsidR="0059196C" w:rsidRPr="00B94FF9" w:rsidRDefault="0059196C" w:rsidP="00FC0E3C">
                      <w:pPr>
                        <w:rPr>
                          <w:b/>
                          <w:sz w:val="20"/>
                          <w:szCs w:val="20"/>
                        </w:rPr>
                      </w:pP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28748483" w14:textId="77777777" w:rsidR="000C5B03" w:rsidRDefault="000C5B03" w:rsidP="00D66DC0">
      <w:pPr>
        <w:jc w:val="both"/>
        <w:rPr>
          <w:rFonts w:ascii="Arial" w:eastAsia="Arial Unicode MS" w:hAnsi="Arial" w:cs="Arial"/>
          <w:b/>
          <w:sz w:val="22"/>
          <w:szCs w:val="22"/>
          <w:u w:val="single"/>
        </w:rPr>
      </w:pPr>
    </w:p>
    <w:p w14:paraId="16D6ED7B" w14:textId="027220E4" w:rsidR="00D66DC0" w:rsidRDefault="00D66DC0" w:rsidP="00D66DC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 xml:space="preserve">GESTIÓN DE </w:t>
      </w:r>
      <w:r w:rsidR="00266D75">
        <w:rPr>
          <w:rFonts w:ascii="Arial" w:eastAsia="Arial Unicode MS" w:hAnsi="Arial" w:cs="Arial"/>
          <w:b/>
          <w:sz w:val="22"/>
          <w:szCs w:val="22"/>
          <w:u w:val="single"/>
        </w:rPr>
        <w:t>TECNOLOGÍAS DE LA INFORMACIÓN</w:t>
      </w:r>
    </w:p>
    <w:p w14:paraId="6F647649" w14:textId="4FE34D1D" w:rsidR="00266D75" w:rsidRPr="003F735F" w:rsidRDefault="00266D75" w:rsidP="00D66DC0">
      <w:pPr>
        <w:jc w:val="both"/>
        <w:rPr>
          <w:rFonts w:ascii="Arial" w:eastAsia="Arial Unicode MS" w:hAnsi="Arial" w:cs="Arial"/>
          <w:b/>
          <w:sz w:val="22"/>
          <w:szCs w:val="22"/>
          <w:u w:val="single"/>
        </w:rPr>
      </w:pPr>
      <w:r>
        <w:rPr>
          <w:rFonts w:ascii="Arial" w:eastAsia="Arial Unicode MS" w:hAnsi="Arial" w:cs="Arial"/>
          <w:b/>
          <w:sz w:val="22"/>
          <w:szCs w:val="22"/>
          <w:u w:val="single"/>
        </w:rPr>
        <w:t>SUBPROCESO: SOPORTE AL USUARIO (SU)</w:t>
      </w:r>
    </w:p>
    <w:p w14:paraId="7408DFCB" w14:textId="6FA62F78" w:rsidR="00D66DC0" w:rsidRDefault="00D66DC0" w:rsidP="000C6779">
      <w:pPr>
        <w:jc w:val="both"/>
        <w:rPr>
          <w:rFonts w:ascii="Arial" w:eastAsia="Arial Unicode MS" w:hAnsi="Arial" w:cs="Arial"/>
          <w:b/>
          <w:sz w:val="22"/>
          <w:szCs w:val="22"/>
          <w:u w:val="single"/>
        </w:rPr>
      </w:pPr>
    </w:p>
    <w:p w14:paraId="5578137A" w14:textId="791A2393" w:rsidR="00477515" w:rsidRPr="00477515" w:rsidRDefault="00477515" w:rsidP="000C6779">
      <w:pPr>
        <w:jc w:val="both"/>
        <w:rPr>
          <w:rFonts w:ascii="Arial" w:eastAsia="Arial Unicode MS" w:hAnsi="Arial" w:cs="Arial"/>
          <w:b/>
          <w:sz w:val="22"/>
          <w:szCs w:val="22"/>
        </w:rPr>
      </w:pPr>
      <w:r w:rsidRPr="00477515">
        <w:rPr>
          <w:rFonts w:ascii="Arial" w:eastAsia="Arial Unicode MS" w:hAnsi="Arial" w:cs="Arial"/>
          <w:b/>
          <w:sz w:val="22"/>
          <w:szCs w:val="22"/>
        </w:rPr>
        <w:t>MODIFICACIÓN</w:t>
      </w:r>
      <w:r w:rsidR="00E37B4D">
        <w:rPr>
          <w:rFonts w:ascii="Arial" w:eastAsia="Arial Unicode MS" w:hAnsi="Arial" w:cs="Arial"/>
          <w:b/>
          <w:sz w:val="22"/>
          <w:szCs w:val="22"/>
        </w:rPr>
        <w:t>:</w:t>
      </w:r>
    </w:p>
    <w:p w14:paraId="5FF775D5" w14:textId="33704E89" w:rsidR="00477515" w:rsidRDefault="00477515" w:rsidP="000C6779">
      <w:pPr>
        <w:jc w:val="both"/>
        <w:rPr>
          <w:rFonts w:ascii="Arial" w:eastAsia="Arial Unicode MS" w:hAnsi="Arial" w:cs="Arial"/>
          <w:b/>
          <w:sz w:val="22"/>
          <w:szCs w:val="22"/>
          <w:u w:val="single"/>
        </w:rPr>
      </w:pPr>
    </w:p>
    <w:p w14:paraId="0FD3FA50" w14:textId="0EF947D1" w:rsidR="00D15944" w:rsidRPr="00D15944" w:rsidRDefault="00D15944" w:rsidP="00D15944">
      <w:pPr>
        <w:pStyle w:val="Prrafodelista"/>
        <w:numPr>
          <w:ilvl w:val="0"/>
          <w:numId w:val="22"/>
        </w:numPr>
        <w:jc w:val="both"/>
        <w:rPr>
          <w:rFonts w:ascii="Arial" w:eastAsia="Arial Unicode MS" w:hAnsi="Arial" w:cs="Arial"/>
          <w:sz w:val="22"/>
          <w:szCs w:val="22"/>
        </w:rPr>
      </w:pPr>
      <w:r w:rsidRPr="00D15944">
        <w:rPr>
          <w:rFonts w:ascii="Arial" w:eastAsia="Arial Unicode MS" w:hAnsi="Arial" w:cs="Arial"/>
          <w:sz w:val="22"/>
          <w:szCs w:val="22"/>
        </w:rPr>
        <w:t>PROCEDIMIENTO GESTIÓN DE INCIDENTES</w:t>
      </w:r>
      <w:r w:rsidR="00694C37">
        <w:rPr>
          <w:rFonts w:ascii="Arial" w:eastAsia="Arial Unicode MS" w:hAnsi="Arial" w:cs="Arial"/>
          <w:sz w:val="22"/>
          <w:szCs w:val="22"/>
        </w:rPr>
        <w:t xml:space="preserve"> DE TI</w:t>
      </w:r>
      <w:r>
        <w:rPr>
          <w:rFonts w:ascii="Arial" w:eastAsia="Arial Unicode MS" w:hAnsi="Arial" w:cs="Arial"/>
          <w:sz w:val="22"/>
          <w:szCs w:val="22"/>
        </w:rPr>
        <w:t xml:space="preserve">. CÓDIGO </w:t>
      </w:r>
      <w:r w:rsidRPr="00D15944">
        <w:rPr>
          <w:rFonts w:ascii="Arial" w:eastAsia="Arial Unicode MS" w:hAnsi="Arial" w:cs="Arial"/>
          <w:sz w:val="22"/>
          <w:szCs w:val="22"/>
        </w:rPr>
        <w:t>PRO-GT-SU-001</w:t>
      </w:r>
      <w:r>
        <w:rPr>
          <w:rFonts w:ascii="Arial" w:eastAsia="Arial Unicode MS" w:hAnsi="Arial" w:cs="Arial"/>
          <w:sz w:val="22"/>
          <w:szCs w:val="22"/>
        </w:rPr>
        <w:t>. Versión 2</w:t>
      </w:r>
    </w:p>
    <w:p w14:paraId="52369438" w14:textId="4027B903" w:rsidR="00D15944" w:rsidRPr="00D15944" w:rsidRDefault="00E37B4D" w:rsidP="00D15944">
      <w:pPr>
        <w:pStyle w:val="Prrafodelista"/>
        <w:numPr>
          <w:ilvl w:val="0"/>
          <w:numId w:val="22"/>
        </w:numPr>
        <w:jc w:val="both"/>
        <w:rPr>
          <w:rFonts w:ascii="Arial" w:eastAsia="Arial Unicode MS" w:hAnsi="Arial" w:cs="Arial"/>
          <w:sz w:val="22"/>
          <w:szCs w:val="22"/>
        </w:rPr>
      </w:pPr>
      <w:r>
        <w:rPr>
          <w:rFonts w:ascii="Arial" w:eastAsia="Arial Unicode MS" w:hAnsi="Arial" w:cs="Arial"/>
          <w:sz w:val="22"/>
          <w:szCs w:val="22"/>
        </w:rPr>
        <w:t xml:space="preserve">PROCEDIMIENTO </w:t>
      </w:r>
      <w:r w:rsidR="00D15944" w:rsidRPr="00D15944">
        <w:rPr>
          <w:rFonts w:ascii="Arial" w:eastAsia="Arial Unicode MS" w:hAnsi="Arial" w:cs="Arial"/>
          <w:sz w:val="22"/>
          <w:szCs w:val="22"/>
        </w:rPr>
        <w:t>PRO-GT-SU-002 PROCEDIMIENTO GESTIÓN DE REQUERIMIENTOS</w:t>
      </w:r>
      <w:r w:rsidR="00694C37">
        <w:rPr>
          <w:rFonts w:ascii="Arial" w:eastAsia="Arial Unicode MS" w:hAnsi="Arial" w:cs="Arial"/>
          <w:sz w:val="22"/>
          <w:szCs w:val="22"/>
        </w:rPr>
        <w:t xml:space="preserve"> DE TI</w:t>
      </w:r>
      <w:r w:rsidR="00D15944">
        <w:rPr>
          <w:rFonts w:ascii="Arial" w:eastAsia="Arial Unicode MS" w:hAnsi="Arial" w:cs="Arial"/>
          <w:sz w:val="22"/>
          <w:szCs w:val="22"/>
        </w:rPr>
        <w:t xml:space="preserve">. CÓDIGO </w:t>
      </w:r>
      <w:r w:rsidR="00D15944" w:rsidRPr="00D15944">
        <w:rPr>
          <w:rFonts w:ascii="Arial" w:eastAsia="Arial Unicode MS" w:hAnsi="Arial" w:cs="Arial"/>
          <w:sz w:val="22"/>
          <w:szCs w:val="22"/>
        </w:rPr>
        <w:t>PRO-GT-SU-001</w:t>
      </w:r>
      <w:r w:rsidR="00D15944">
        <w:rPr>
          <w:rFonts w:ascii="Arial" w:eastAsia="Arial Unicode MS" w:hAnsi="Arial" w:cs="Arial"/>
          <w:sz w:val="22"/>
          <w:szCs w:val="22"/>
        </w:rPr>
        <w:t>. Versión 2.</w:t>
      </w:r>
    </w:p>
    <w:p w14:paraId="12E11B49" w14:textId="344BC049" w:rsidR="00D15944" w:rsidRPr="00D15944" w:rsidRDefault="00D15944" w:rsidP="00D15944">
      <w:pPr>
        <w:pStyle w:val="Prrafodelista"/>
        <w:numPr>
          <w:ilvl w:val="0"/>
          <w:numId w:val="22"/>
        </w:numPr>
        <w:jc w:val="both"/>
        <w:rPr>
          <w:rFonts w:ascii="Arial" w:eastAsia="Arial Unicode MS" w:hAnsi="Arial" w:cs="Arial"/>
          <w:sz w:val="22"/>
          <w:szCs w:val="22"/>
        </w:rPr>
      </w:pPr>
      <w:r w:rsidRPr="00D15944">
        <w:rPr>
          <w:rFonts w:ascii="Arial" w:eastAsia="Arial Unicode MS" w:hAnsi="Arial" w:cs="Arial"/>
          <w:sz w:val="22"/>
          <w:szCs w:val="22"/>
        </w:rPr>
        <w:t>PROTOCOLO DE SERVICIO</w:t>
      </w:r>
      <w:r>
        <w:rPr>
          <w:rFonts w:ascii="Arial" w:eastAsia="Arial Unicode MS" w:hAnsi="Arial" w:cs="Arial"/>
          <w:sz w:val="22"/>
          <w:szCs w:val="22"/>
        </w:rPr>
        <w:t xml:space="preserve">. CÓDIGO </w:t>
      </w:r>
      <w:r w:rsidRPr="00D15944">
        <w:rPr>
          <w:rFonts w:ascii="Arial" w:eastAsia="Arial Unicode MS" w:hAnsi="Arial" w:cs="Arial"/>
          <w:sz w:val="22"/>
          <w:szCs w:val="22"/>
        </w:rPr>
        <w:t>PRT-GT-SU-001</w:t>
      </w:r>
      <w:r>
        <w:rPr>
          <w:rFonts w:ascii="Arial" w:eastAsia="Arial Unicode MS" w:hAnsi="Arial" w:cs="Arial"/>
          <w:sz w:val="22"/>
          <w:szCs w:val="22"/>
        </w:rPr>
        <w:t>. Versión 2.</w:t>
      </w:r>
    </w:p>
    <w:p w14:paraId="017364AC" w14:textId="190C7008" w:rsidR="00477515" w:rsidRDefault="00477515" w:rsidP="000C6779">
      <w:pPr>
        <w:jc w:val="both"/>
        <w:rPr>
          <w:rFonts w:ascii="Arial" w:eastAsia="Arial Unicode MS" w:hAnsi="Arial" w:cs="Arial"/>
          <w:b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591C85A3"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363FA53E" w14:textId="24409AC5" w:rsidR="00D15944" w:rsidRDefault="00D15944" w:rsidP="00F27E47">
      <w:pPr>
        <w:jc w:val="both"/>
        <w:rPr>
          <w:rFonts w:ascii="Arial" w:eastAsia="Arial Unicode MS" w:hAnsi="Arial" w:cs="Arial"/>
          <w:b/>
          <w:i/>
          <w:sz w:val="22"/>
          <w:szCs w:val="22"/>
        </w:rPr>
      </w:pPr>
    </w:p>
    <w:p w14:paraId="1F96D946" w14:textId="77777777" w:rsidR="00E37B4D" w:rsidRPr="009C14CC" w:rsidRDefault="00E37B4D" w:rsidP="00E37B4D">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0FDB1B3" w14:textId="77777777" w:rsidR="00E37B4D" w:rsidRDefault="00E37B4D" w:rsidP="00634167">
      <w:pPr>
        <w:jc w:val="both"/>
        <w:rPr>
          <w:rFonts w:ascii="Arial" w:eastAsia="Arial Unicode MS" w:hAnsi="Arial" w:cs="Arial"/>
        </w:rPr>
      </w:pPr>
    </w:p>
    <w:p w14:paraId="5D7E3D8C" w14:textId="3ECAB139" w:rsidR="00D15944" w:rsidRPr="00634167" w:rsidRDefault="00D15944" w:rsidP="00634167">
      <w:pPr>
        <w:jc w:val="both"/>
        <w:rPr>
          <w:rFonts w:ascii="Arial" w:eastAsia="Arial Unicode MS" w:hAnsi="Arial" w:cs="Arial"/>
        </w:rPr>
      </w:pPr>
      <w:r w:rsidRPr="00634167">
        <w:rPr>
          <w:rFonts w:ascii="Arial" w:eastAsia="Arial Unicode MS" w:hAnsi="Arial" w:cs="Arial"/>
        </w:rPr>
        <w:t>Se br</w:t>
      </w:r>
      <w:r w:rsidR="00634167" w:rsidRPr="00634167">
        <w:rPr>
          <w:rFonts w:ascii="Arial" w:eastAsia="Arial Unicode MS" w:hAnsi="Arial" w:cs="Arial"/>
        </w:rPr>
        <w:t>i</w:t>
      </w:r>
      <w:r w:rsidRPr="00634167">
        <w:rPr>
          <w:rFonts w:ascii="Arial" w:eastAsia="Arial Unicode MS" w:hAnsi="Arial" w:cs="Arial"/>
        </w:rPr>
        <w:t>ndó asesoría técnica en la modificación de los siguientes documentos en sesiones de reunión</w:t>
      </w:r>
      <w:r w:rsidR="00634167" w:rsidRPr="00634167">
        <w:rPr>
          <w:rFonts w:ascii="Arial" w:eastAsia="Arial Unicode MS" w:hAnsi="Arial" w:cs="Arial"/>
        </w:rPr>
        <w:t xml:space="preserve"> con la Doctora Lorena Arias, el doctor Arcesio</w:t>
      </w:r>
      <w:r w:rsidR="00634167">
        <w:rPr>
          <w:rFonts w:ascii="Arial" w:eastAsia="Arial Unicode MS" w:hAnsi="Arial" w:cs="Arial"/>
        </w:rPr>
        <w:t xml:space="preserve"> Ramirez y la doctora Erika Rojas.</w:t>
      </w:r>
    </w:p>
    <w:p w14:paraId="69E0129F" w14:textId="49B44825" w:rsidR="00D15944" w:rsidRPr="00634167" w:rsidRDefault="00D15944" w:rsidP="00634167">
      <w:pPr>
        <w:jc w:val="both"/>
        <w:rPr>
          <w:rFonts w:ascii="Arial" w:eastAsia="Arial Unicode MS" w:hAnsi="Arial" w:cs="Arial"/>
        </w:rPr>
      </w:pPr>
      <w:r w:rsidRPr="00634167">
        <w:rPr>
          <w:rFonts w:ascii="Arial" w:eastAsia="Arial Unicode MS" w:hAnsi="Arial" w:cs="Arial"/>
        </w:rPr>
        <w:t>Se modificaron los siguientes documentos y su versión paso de 1 a 2:</w:t>
      </w:r>
    </w:p>
    <w:p w14:paraId="264A4D91" w14:textId="0B8E7C5C" w:rsidR="00A22449" w:rsidRPr="00A22449" w:rsidRDefault="00A22449" w:rsidP="00F27E47">
      <w:pPr>
        <w:jc w:val="both"/>
        <w:rPr>
          <w:rFonts w:ascii="Arial" w:eastAsia="Arial Unicode MS" w:hAnsi="Arial" w:cs="Arial"/>
        </w:rPr>
      </w:pPr>
    </w:p>
    <w:p w14:paraId="459BEED3" w14:textId="77777777" w:rsidR="00D15944" w:rsidRPr="00D15944" w:rsidRDefault="00D15944" w:rsidP="00D15944">
      <w:pPr>
        <w:jc w:val="both"/>
        <w:rPr>
          <w:rFonts w:ascii="Arial" w:eastAsia="Arial Unicode MS" w:hAnsi="Arial" w:cs="Arial"/>
        </w:rPr>
      </w:pPr>
      <w:r w:rsidRPr="00D15944">
        <w:rPr>
          <w:rFonts w:ascii="Arial" w:eastAsia="Arial Unicode MS" w:hAnsi="Arial" w:cs="Arial"/>
          <w:b/>
        </w:rPr>
        <w:t>PRO-GT-SU-001 PROCEDIMIENTO GESTIÓN DE INCIDENTES:</w:t>
      </w:r>
      <w:r w:rsidRPr="00D15944">
        <w:rPr>
          <w:rFonts w:ascii="Arial" w:eastAsia="Arial Unicode MS" w:hAnsi="Arial" w:cs="Arial"/>
        </w:rPr>
        <w:t xml:space="preserve"> Cambio de nombre del documento a Procedimiento Gestión de Incidentes de TI. Se adiciona el ítem de Roles y Responsabilidades. Se actualiza la Descripción de las actividades y flujograma del procedimiento de Gestión de Incidentes de TI bajo el marco de mejores prácticas ITIL.</w:t>
      </w:r>
    </w:p>
    <w:p w14:paraId="0A25F1F1" w14:textId="77777777" w:rsidR="00D15944" w:rsidRPr="00D15944" w:rsidRDefault="00D15944" w:rsidP="00D15944">
      <w:pPr>
        <w:jc w:val="both"/>
        <w:rPr>
          <w:rFonts w:ascii="Arial" w:eastAsia="Arial Unicode MS" w:hAnsi="Arial" w:cs="Arial"/>
        </w:rPr>
      </w:pPr>
      <w:r w:rsidRPr="00D15944">
        <w:rPr>
          <w:rFonts w:ascii="Arial" w:eastAsia="Arial Unicode MS" w:hAnsi="Arial" w:cs="Arial"/>
          <w:b/>
        </w:rPr>
        <w:t>PRO-GT-SU-002 PROCEDIMIENTO GESTIÓN DE REQUERIMIENTOS:</w:t>
      </w:r>
      <w:r w:rsidRPr="00D15944">
        <w:rPr>
          <w:rFonts w:ascii="Arial" w:eastAsia="Arial Unicode MS" w:hAnsi="Arial" w:cs="Arial"/>
        </w:rPr>
        <w:t xml:space="preserve"> Cambio de nombre del documento a Procedimiento Gestión de Requerimientos de TI. Se adiciona el ítem de Roles </w:t>
      </w:r>
      <w:r w:rsidRPr="00D15944">
        <w:rPr>
          <w:rFonts w:ascii="Arial" w:eastAsia="Arial Unicode MS" w:hAnsi="Arial" w:cs="Arial"/>
        </w:rPr>
        <w:lastRenderedPageBreak/>
        <w:t>y Responsabilidades. Se actualiza la Descripción de las actividades y flujograma del procedimiento de Gestión de requerimientos de TI bajo el marco de mejores prácticas ITIL.</w:t>
      </w:r>
    </w:p>
    <w:p w14:paraId="6CBF637E" w14:textId="77777777" w:rsidR="00D15944" w:rsidRPr="00D15944" w:rsidRDefault="00D15944" w:rsidP="00D15944">
      <w:pPr>
        <w:jc w:val="both"/>
        <w:rPr>
          <w:rFonts w:ascii="Arial" w:eastAsia="Arial Unicode MS" w:hAnsi="Arial" w:cs="Arial"/>
          <w:b/>
          <w:bCs/>
        </w:rPr>
      </w:pPr>
      <w:r w:rsidRPr="00D15944">
        <w:rPr>
          <w:rFonts w:ascii="Arial" w:eastAsia="Arial Unicode MS" w:hAnsi="Arial" w:cs="Arial"/>
          <w:b/>
          <w:bCs/>
        </w:rPr>
        <w:t xml:space="preserve">PRT-GT-SU-001 PROTOCOLO DE SERVICIO: </w:t>
      </w:r>
      <w:r w:rsidRPr="00D15944">
        <w:rPr>
          <w:rFonts w:ascii="Arial" w:eastAsia="Arial Unicode MS" w:hAnsi="Arial" w:cs="Arial"/>
        </w:rPr>
        <w:t>Se realiza adaptación bajo el marco de mejores prácticas ITIL.</w:t>
      </w:r>
    </w:p>
    <w:p w14:paraId="1EF0B0F2" w14:textId="77777777" w:rsidR="00B73485" w:rsidRPr="00360693" w:rsidRDefault="00B73485" w:rsidP="00F27E47">
      <w:pPr>
        <w:jc w:val="both"/>
        <w:rPr>
          <w:rFonts w:ascii="Arial" w:eastAsia="Arial Unicode MS" w:hAnsi="Arial" w:cs="Arial"/>
        </w:rPr>
      </w:pPr>
    </w:p>
    <w:p w14:paraId="2A5DB69C" w14:textId="77777777" w:rsidR="0028203C" w:rsidRPr="009C14CC" w:rsidRDefault="0028203C" w:rsidP="0028203C">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28203C">
      <w:pPr>
        <w:jc w:val="both"/>
        <w:rPr>
          <w:rFonts w:ascii="Arial" w:eastAsia="Arial Unicode MS" w:hAnsi="Arial" w:cs="Arial"/>
        </w:rPr>
      </w:pPr>
    </w:p>
    <w:p w14:paraId="13DA76A5" w14:textId="77777777" w:rsidR="0028203C" w:rsidRPr="009C14CC" w:rsidRDefault="0028203C" w:rsidP="0028203C">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28203C">
      <w:pPr>
        <w:jc w:val="both"/>
        <w:rPr>
          <w:rFonts w:ascii="Arial" w:eastAsia="Arial Unicode MS" w:hAnsi="Arial" w:cs="Arial"/>
        </w:rPr>
      </w:pPr>
    </w:p>
    <w:p w14:paraId="7211BC50" w14:textId="77777777" w:rsidR="0028203C" w:rsidRPr="009C14CC" w:rsidRDefault="0028203C" w:rsidP="0028203C">
      <w:pPr>
        <w:jc w:val="both"/>
        <w:rPr>
          <w:rFonts w:ascii="Arial" w:eastAsia="Arial Unicode MS" w:hAnsi="Arial" w:cs="Arial"/>
          <w:b/>
        </w:rPr>
      </w:pPr>
      <w:r w:rsidRPr="009C14CC">
        <w:rPr>
          <w:rFonts w:ascii="Arial" w:eastAsia="Arial Unicode MS" w:hAnsi="Arial" w:cs="Arial"/>
        </w:rPr>
        <w:t xml:space="preserve">Para la formalización de la modificación de los documentos(s) mencionado(s), se firma la presente Acta por los suscritos </w:t>
      </w:r>
      <w:proofErr w:type="gramStart"/>
      <w:r w:rsidRPr="009C14CC">
        <w:rPr>
          <w:rFonts w:ascii="Arial" w:eastAsia="Arial Unicode MS" w:hAnsi="Arial" w:cs="Arial"/>
        </w:rPr>
        <w:t>Jefe</w:t>
      </w:r>
      <w:proofErr w:type="gramEnd"/>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17"/>
      </w:tblGrid>
      <w:tr w:rsidR="00152853" w14:paraId="00411238" w14:textId="77777777" w:rsidTr="00FD279F">
        <w:tc>
          <w:tcPr>
            <w:tcW w:w="5245" w:type="dxa"/>
          </w:tcPr>
          <w:p w14:paraId="1929C131" w14:textId="14B1F102" w:rsidR="00152853" w:rsidRDefault="00152853" w:rsidP="00854509">
            <w:pPr>
              <w:jc w:val="both"/>
              <w:rPr>
                <w:rFonts w:ascii="Arial" w:eastAsia="Arial Unicode MS" w:hAnsi="Arial" w:cs="Arial"/>
                <w:sz w:val="22"/>
                <w:szCs w:val="22"/>
              </w:rPr>
            </w:pPr>
          </w:p>
        </w:tc>
        <w:tc>
          <w:tcPr>
            <w:tcW w:w="4717"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FD279F">
        <w:tc>
          <w:tcPr>
            <w:tcW w:w="5245" w:type="dxa"/>
          </w:tcPr>
          <w:p w14:paraId="7F787A2D" w14:textId="2D766069"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634167">
              <w:rPr>
                <w:rFonts w:ascii="Arial" w:eastAsia="Arial Unicode MS" w:hAnsi="Arial" w:cs="Arial"/>
                <w:b/>
                <w:i/>
                <w:iCs/>
                <w:sz w:val="22"/>
                <w:szCs w:val="22"/>
              </w:rPr>
              <w:t>LENIN GALINDO URQUIJO</w:t>
            </w:r>
          </w:p>
        </w:tc>
        <w:tc>
          <w:tcPr>
            <w:tcW w:w="4717" w:type="dxa"/>
          </w:tcPr>
          <w:p w14:paraId="4BF41FC3" w14:textId="43AA34F4" w:rsidR="00152853" w:rsidRDefault="00FD279F" w:rsidP="00152853">
            <w:pPr>
              <w:jc w:val="both"/>
              <w:rPr>
                <w:rFonts w:ascii="Arial" w:eastAsia="Arial Unicode MS" w:hAnsi="Arial" w:cs="Arial"/>
                <w:b/>
                <w:sz w:val="22"/>
                <w:szCs w:val="22"/>
              </w:rPr>
            </w:pPr>
            <w:r>
              <w:rPr>
                <w:rFonts w:ascii="Arial" w:eastAsia="Arial Unicode MS" w:hAnsi="Arial" w:cs="Arial"/>
                <w:b/>
                <w:sz w:val="22"/>
                <w:szCs w:val="22"/>
              </w:rPr>
              <w:t xml:space="preserve">GUILLERMO GÓMEZ </w:t>
            </w:r>
            <w:proofErr w:type="spellStart"/>
            <w:r>
              <w:rPr>
                <w:rFonts w:ascii="Arial" w:eastAsia="Arial Unicode MS" w:hAnsi="Arial" w:cs="Arial"/>
                <w:b/>
                <w:sz w:val="22"/>
                <w:szCs w:val="22"/>
              </w:rPr>
              <w:t>GÓMEZ</w:t>
            </w:r>
            <w:proofErr w:type="spellEnd"/>
          </w:p>
        </w:tc>
      </w:tr>
      <w:tr w:rsidR="00152853" w14:paraId="52EE6B0B" w14:textId="77777777" w:rsidTr="00FD279F">
        <w:tc>
          <w:tcPr>
            <w:tcW w:w="5245"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717" w:type="dxa"/>
          </w:tcPr>
          <w:p w14:paraId="3C959E80" w14:textId="7B96D48F" w:rsidR="00152853" w:rsidRDefault="00FD279F" w:rsidP="00152853">
            <w:pPr>
              <w:jc w:val="both"/>
              <w:rPr>
                <w:rFonts w:ascii="Arial" w:eastAsia="Arial Unicode MS" w:hAnsi="Arial" w:cs="Arial"/>
                <w:sz w:val="22"/>
                <w:szCs w:val="22"/>
              </w:rPr>
            </w:pPr>
            <w:r>
              <w:rPr>
                <w:rFonts w:ascii="Arial" w:eastAsia="Arial Unicode MS" w:hAnsi="Arial" w:cs="Arial"/>
                <w:sz w:val="22"/>
                <w:szCs w:val="22"/>
              </w:rPr>
              <w:t>Jefe Oficina de Sistemas</w:t>
            </w:r>
          </w:p>
        </w:tc>
      </w:tr>
    </w:tbl>
    <w:p w14:paraId="5B736450" w14:textId="6C283402" w:rsidR="00830785" w:rsidRDefault="00830785" w:rsidP="00854509">
      <w:pPr>
        <w:jc w:val="both"/>
        <w:rPr>
          <w:rFonts w:ascii="Arial" w:eastAsia="Arial Unicode MS" w:hAnsi="Arial" w:cs="Arial"/>
          <w:sz w:val="22"/>
          <w:szCs w:val="22"/>
        </w:rPr>
      </w:pP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F4FB8AE"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2D65C1">
        <w:rPr>
          <w:rFonts w:ascii="Arial" w:eastAsia="Arial Unicode MS" w:hAnsi="Arial" w:cs="Arial"/>
          <w:sz w:val="16"/>
          <w:szCs w:val="16"/>
        </w:rPr>
        <w:tab/>
      </w:r>
      <w:r w:rsidR="002D65C1">
        <w:rPr>
          <w:rFonts w:ascii="Arial" w:eastAsia="Arial Unicode MS" w:hAnsi="Arial" w:cs="Arial"/>
          <w:sz w:val="16"/>
          <w:szCs w:val="16"/>
        </w:rPr>
        <w:tab/>
      </w:r>
      <w:r w:rsidR="002D65C1">
        <w:rPr>
          <w:rFonts w:ascii="Arial" w:eastAsia="Arial Unicode MS" w:hAnsi="Arial" w:cs="Arial"/>
          <w:sz w:val="16"/>
          <w:szCs w:val="16"/>
        </w:rPr>
        <w:tab/>
      </w:r>
      <w:r w:rsidR="002D65C1">
        <w:rPr>
          <w:rFonts w:ascii="Arial" w:eastAsia="Arial Unicode MS" w:hAnsi="Arial" w:cs="Arial"/>
          <w:sz w:val="16"/>
          <w:szCs w:val="16"/>
        </w:rPr>
        <w:tab/>
      </w:r>
      <w:r w:rsidR="002D65C1">
        <w:rPr>
          <w:rFonts w:ascii="Arial" w:eastAsia="Arial Unicode MS" w:hAnsi="Arial" w:cs="Arial"/>
          <w:sz w:val="16"/>
          <w:szCs w:val="16"/>
        </w:rPr>
        <w:tab/>
      </w:r>
      <w:r w:rsidR="002D65C1">
        <w:rPr>
          <w:rFonts w:ascii="Arial" w:eastAsia="Arial Unicode MS" w:hAnsi="Arial" w:cs="Arial"/>
          <w:sz w:val="16"/>
          <w:szCs w:val="16"/>
        </w:rPr>
        <w:tab/>
      </w:r>
      <w:r w:rsidR="002D65C1" w:rsidRPr="002D65C1">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BFF61" w14:textId="77777777" w:rsidR="003D5CEF" w:rsidRDefault="003D5CEF">
      <w:r>
        <w:separator/>
      </w:r>
    </w:p>
  </w:endnote>
  <w:endnote w:type="continuationSeparator" w:id="0">
    <w:p w14:paraId="63A6F285" w14:textId="77777777" w:rsidR="003D5CEF" w:rsidRDefault="003D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BEC5" w14:textId="77777777" w:rsidR="003D5CEF" w:rsidRDefault="003D5CEF">
      <w:r>
        <w:separator/>
      </w:r>
    </w:p>
  </w:footnote>
  <w:footnote w:type="continuationSeparator" w:id="0">
    <w:p w14:paraId="3C463070" w14:textId="77777777" w:rsidR="003D5CEF" w:rsidRDefault="003D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3D5CEF">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3D5CEF">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FC8233C"/>
    <w:multiLevelType w:val="hybridMultilevel"/>
    <w:tmpl w:val="FF62DC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7"/>
  </w:num>
  <w:num w:numId="5">
    <w:abstractNumId w:val="9"/>
  </w:num>
  <w:num w:numId="6">
    <w:abstractNumId w:val="12"/>
  </w:num>
  <w:num w:numId="7">
    <w:abstractNumId w:val="16"/>
  </w:num>
  <w:num w:numId="8">
    <w:abstractNumId w:val="10"/>
  </w:num>
  <w:num w:numId="9">
    <w:abstractNumId w:val="5"/>
  </w:num>
  <w:num w:numId="10">
    <w:abstractNumId w:val="21"/>
  </w:num>
  <w:num w:numId="11">
    <w:abstractNumId w:val="14"/>
  </w:num>
  <w:num w:numId="12">
    <w:abstractNumId w:val="4"/>
  </w:num>
  <w:num w:numId="13">
    <w:abstractNumId w:val="20"/>
  </w:num>
  <w:num w:numId="14">
    <w:abstractNumId w:val="13"/>
  </w:num>
  <w:num w:numId="15">
    <w:abstractNumId w:val="17"/>
  </w:num>
  <w:num w:numId="16">
    <w:abstractNumId w:val="6"/>
  </w:num>
  <w:num w:numId="17">
    <w:abstractNumId w:val="8"/>
  </w:num>
  <w:num w:numId="18">
    <w:abstractNumId w:val="2"/>
  </w:num>
  <w:num w:numId="19">
    <w:abstractNumId w:val="19"/>
  </w:num>
  <w:num w:numId="20">
    <w:abstractNumId w:val="3"/>
  </w:num>
  <w:num w:numId="21">
    <w:abstractNumId w:val="18"/>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3977"/>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6879"/>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6D75"/>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55A"/>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65C1"/>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CEF"/>
    <w:rsid w:val="003D5D06"/>
    <w:rsid w:val="003D7245"/>
    <w:rsid w:val="003E1B4D"/>
    <w:rsid w:val="003E2071"/>
    <w:rsid w:val="003E2C74"/>
    <w:rsid w:val="003E38E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64FE"/>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2737B"/>
    <w:rsid w:val="006304AD"/>
    <w:rsid w:val="00633EC9"/>
    <w:rsid w:val="00634167"/>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37"/>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0B1"/>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6F61"/>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6893"/>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5944"/>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2649F"/>
    <w:rsid w:val="00E30F88"/>
    <w:rsid w:val="00E32C2A"/>
    <w:rsid w:val="00E3305F"/>
    <w:rsid w:val="00E33C08"/>
    <w:rsid w:val="00E34214"/>
    <w:rsid w:val="00E37B4D"/>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602"/>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279F"/>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CC4FF-F386-48D8-9A31-BFAA286E95EC}">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3244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10</cp:revision>
  <cp:lastPrinted>2020-02-18T20:06:00Z</cp:lastPrinted>
  <dcterms:created xsi:type="dcterms:W3CDTF">2020-06-23T19:01:00Z</dcterms:created>
  <dcterms:modified xsi:type="dcterms:W3CDTF">2020-07-31T12:47:00Z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